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D23" w:rsidRDefault="00E0523F">
      <w:pPr>
        <w:jc w:val="center"/>
        <w:rPr>
          <w:sz w:val="22"/>
          <w:szCs w:val="22"/>
        </w:rPr>
      </w:pPr>
      <w:r>
        <w:rPr>
          <w:b/>
          <w:bCs/>
          <w:i/>
          <w:iCs/>
          <w:noProof/>
          <w:color w:val="000000"/>
          <w:lang w:eastAsia="fr-FR"/>
        </w:rPr>
        <mc:AlternateContent>
          <mc:Choice Requires="wpg">
            <w:drawing>
              <wp:anchor distT="0" distB="0" distL="114300" distR="114300" simplePos="0" relativeHeight="251659264" behindDoc="0" locked="0" layoutInCell="1" allowOverlap="1">
                <wp:simplePos x="0" y="0"/>
                <wp:positionH relativeFrom="margin">
                  <wp:posOffset>5184140</wp:posOffset>
                </wp:positionH>
                <wp:positionV relativeFrom="margin">
                  <wp:posOffset>-704850</wp:posOffset>
                </wp:positionV>
                <wp:extent cx="1155700" cy="1170940"/>
                <wp:effectExtent l="0" t="0" r="635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 V Cofinancé par l’Union européenne_POS.jpg"/>
                        <pic:cNvPicPr>
                          <a:picLocks noChangeAspect="1"/>
                        </pic:cNvPicPr>
                      </pic:nvPicPr>
                      <pic:blipFill>
                        <a:blip r:embed="rId7"/>
                        <a:stretch/>
                      </pic:blipFill>
                      <pic:spPr bwMode="auto">
                        <a:xfrm>
                          <a:off x="0" y="0"/>
                          <a:ext cx="1155699" cy="1170940"/>
                        </a:xfrm>
                        <a:prstGeom prst="rect">
                          <a:avLst/>
                        </a:prstGeom>
                      </pic:spPr>
                    </pic:pic>
                  </a:graphicData>
                </a:graphic>
              </wp:anchor>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margin;margin-left:408.20pt;mso-position-horizontal:absolute;mso-position-vertical-relative:margin;margin-top:-55.50pt;mso-position-vertical:absolute;width:91.00pt;height:92.20pt;mso-wrap-distance-left:9.00pt;mso-wrap-distance-top:0.00pt;mso-wrap-distance-right:9.00pt;mso-wrap-distance-bottom:0.00pt;z-index:1;" stroked="false">
                <w10:wrap type="square"/>
                <v:imagedata r:id="rId10" o:title=""/>
                <o:lock v:ext="edit" rotation="t"/>
              </v:shape>
            </w:pict>
          </mc:Fallback>
        </mc:AlternateContent>
      </w:r>
      <w:r>
        <w:rPr>
          <w:noProof/>
          <w:sz w:val="22"/>
          <w:szCs w:val="22"/>
          <w:lang w:eastAsia="fr-FR"/>
        </w:rPr>
        <mc:AlternateContent>
          <mc:Choice Requires="wpg">
            <w:drawing>
              <wp:anchor distT="0" distB="0" distL="0" distR="114300" simplePos="0" relativeHeight="2" behindDoc="0" locked="0" layoutInCell="1" allowOverlap="1">
                <wp:simplePos x="0" y="0"/>
                <wp:positionH relativeFrom="margin">
                  <wp:align>left</wp:align>
                </wp:positionH>
                <wp:positionV relativeFrom="margin">
                  <wp:posOffset>-708660</wp:posOffset>
                </wp:positionV>
                <wp:extent cx="1722755" cy="1243965"/>
                <wp:effectExtent l="0" t="0" r="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1"/>
                        <a:stretch/>
                      </pic:blipFill>
                      <pic:spPr bwMode="auto">
                        <a:xfrm>
                          <a:off x="0" y="0"/>
                          <a:ext cx="1722755" cy="1243965"/>
                        </a:xfrm>
                        <a:prstGeom prst="rect">
                          <a:avLst/>
                        </a:prstGeom>
                      </pic:spPr>
                    </pic:pic>
                  </a:graphicData>
                </a:graphic>
              </wp:anchor>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o:allowoverlap:true;o:allowincell:true;mso-position-horizontal-relative:margin;mso-position-horizontal:left;mso-position-vertical-relative:margin;margin-top:-55.80pt;mso-position-vertical:absolute;width:135.65pt;height:97.95pt;mso-wrap-distance-left:0.00pt;mso-wrap-distance-top:0.00pt;mso-wrap-distance-right:9.00pt;mso-wrap-distance-bottom:0.00pt;z-index:1;" stroked="false">
                <w10:wrap type="square"/>
                <v:imagedata r:id="rId12" o:title=""/>
                <o:lock v:ext="edit" rotation="t"/>
              </v:shape>
            </w:pict>
          </mc:Fallback>
        </mc:AlternateContent>
      </w:r>
      <w:r>
        <w:rPr>
          <w:sz w:val="22"/>
          <w:szCs w:val="22"/>
        </w:rPr>
        <w:t xml:space="preserve">                                              </w:t>
      </w:r>
    </w:p>
    <w:p w:rsidR="00CE3D23" w:rsidRDefault="00CE3D23">
      <w:pPr>
        <w:jc w:val="left"/>
        <w:rPr>
          <w:sz w:val="22"/>
          <w:szCs w:val="22"/>
        </w:rPr>
      </w:pPr>
    </w:p>
    <w:p w:rsidR="00CE3D23" w:rsidRDefault="00CE3D23">
      <w:pPr>
        <w:pStyle w:val="Lgende"/>
        <w:spacing w:after="0"/>
        <w:jc w:val="center"/>
        <w:rPr>
          <w:caps/>
          <w:sz w:val="22"/>
          <w:szCs w:val="22"/>
        </w:rPr>
      </w:pPr>
    </w:p>
    <w:p w:rsidR="00CE3D23" w:rsidRDefault="00CE3D23">
      <w:pPr>
        <w:rPr>
          <w:sz w:val="22"/>
          <w:szCs w:val="22"/>
        </w:rPr>
      </w:pPr>
    </w:p>
    <w:p w:rsidR="00CE3D23" w:rsidRDefault="00E0523F">
      <w:pPr>
        <w:pStyle w:val="Lgende"/>
        <w:spacing w:after="0"/>
        <w:jc w:val="center"/>
        <w:rPr>
          <w:sz w:val="22"/>
          <w:szCs w:val="22"/>
        </w:rPr>
      </w:pPr>
      <w:r>
        <w:rPr>
          <w:caps/>
          <w:sz w:val="22"/>
          <w:szCs w:val="22"/>
        </w:rPr>
        <w:t xml:space="preserve">direction de l’évaluation, de la performance, de l’achat, des finances et de l’immobilier </w:t>
      </w:r>
    </w:p>
    <w:p w:rsidR="00CE3D23" w:rsidRDefault="00E0523F">
      <w:pPr>
        <w:spacing w:after="0"/>
        <w:jc w:val="center"/>
        <w:rPr>
          <w:sz w:val="22"/>
          <w:szCs w:val="22"/>
        </w:rPr>
      </w:pPr>
      <w:r>
        <w:rPr>
          <w:b/>
          <w:caps/>
          <w:sz w:val="22"/>
          <w:szCs w:val="22"/>
        </w:rPr>
        <w:t>service de l’achat, de l’innovation et de la logistique du ministère de l’interieur</w:t>
      </w:r>
    </w:p>
    <w:p w:rsidR="00CE3D23" w:rsidRDefault="00E0523F">
      <w:pPr>
        <w:spacing w:after="0"/>
        <w:jc w:val="center"/>
        <w:rPr>
          <w:sz w:val="22"/>
          <w:szCs w:val="22"/>
        </w:rPr>
      </w:pPr>
      <w:r>
        <w:rPr>
          <w:b/>
          <w:caps/>
          <w:sz w:val="22"/>
          <w:szCs w:val="22"/>
        </w:rPr>
        <w:t>Sous-Direction de l’Achat et du suivi de l’exécution des marchés</w:t>
      </w:r>
    </w:p>
    <w:p w:rsidR="00CE3D23" w:rsidRDefault="00E0523F">
      <w:pPr>
        <w:spacing w:after="0"/>
        <w:jc w:val="center"/>
        <w:rPr>
          <w:sz w:val="22"/>
          <w:szCs w:val="22"/>
        </w:rPr>
      </w:pPr>
      <w:r>
        <w:rPr>
          <w:b/>
          <w:caps/>
          <w:sz w:val="22"/>
          <w:szCs w:val="22"/>
        </w:rPr>
        <w:t>bureau des achats immobiliers et prestations</w:t>
      </w:r>
    </w:p>
    <w:p w:rsidR="00CE3D23" w:rsidRDefault="00CE3D23">
      <w:pPr>
        <w:rPr>
          <w:b/>
          <w:caps/>
          <w:sz w:val="22"/>
          <w:szCs w:val="22"/>
        </w:rPr>
      </w:pPr>
    </w:p>
    <w:p w:rsidR="00CE3D23" w:rsidRDefault="00CE3D23">
      <w:pPr>
        <w:rPr>
          <w:b/>
          <w:caps/>
          <w:sz w:val="22"/>
          <w:szCs w:val="22"/>
        </w:rPr>
      </w:pPr>
    </w:p>
    <w:p w:rsidR="006D77CF" w:rsidRDefault="006D77C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rPr>
          <w:b/>
          <w:sz w:val="22"/>
          <w:szCs w:val="22"/>
          <w:lang w:eastAsia="en-US"/>
        </w:rPr>
      </w:pPr>
    </w:p>
    <w:p w:rsidR="00CE3D23" w:rsidRDefault="00E0523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smallCaps/>
          <w:sz w:val="22"/>
          <w:szCs w:val="22"/>
          <w:lang w:eastAsia="en-US"/>
        </w:rPr>
      </w:pPr>
      <w:r>
        <w:rPr>
          <w:b/>
          <w:smallCaps/>
          <w:sz w:val="22"/>
          <w:szCs w:val="22"/>
          <w:lang w:eastAsia="en-US"/>
        </w:rPr>
        <w:t>CADRE DE REPONSE TECHNIQUE</w:t>
      </w:r>
    </w:p>
    <w:p w:rsidR="00CE3D23" w:rsidRDefault="00E0523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smallCaps/>
          <w:sz w:val="22"/>
          <w:szCs w:val="22"/>
          <w:lang w:eastAsia="en-US"/>
        </w:rPr>
      </w:pPr>
      <w:r>
        <w:rPr>
          <w:b/>
          <w:smallCaps/>
          <w:sz w:val="22"/>
          <w:szCs w:val="22"/>
          <w:lang w:eastAsia="en-US"/>
        </w:rPr>
        <w:t>(CRT)</w:t>
      </w:r>
    </w:p>
    <w:p w:rsidR="00CE3D23" w:rsidRDefault="00E0523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sz w:val="22"/>
          <w:szCs w:val="22"/>
          <w:lang w:eastAsia="en-US"/>
        </w:rPr>
      </w:pPr>
      <w:r>
        <w:rPr>
          <w:b/>
          <w:caps/>
          <w:sz w:val="22"/>
          <w:szCs w:val="22"/>
          <w:lang w:eastAsia="en-US"/>
        </w:rPr>
        <w:t>Ayant pour objet</w:t>
      </w:r>
    </w:p>
    <w:p w:rsidR="00CE3D23" w:rsidRDefault="006D77C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r>
        <w:rPr>
          <w:b/>
          <w:caps/>
          <w:lang w:eastAsia="en-US"/>
        </w:rPr>
        <w:t xml:space="preserve">La </w:t>
      </w:r>
      <w:r w:rsidR="00E0523F">
        <w:rPr>
          <w:b/>
          <w:caps/>
          <w:lang w:eastAsia="en-US"/>
        </w:rPr>
        <w:t>Réalisation de contrôles administratifs et d’accompagnement des porteurs de projets sur les fonds européens</w:t>
      </w:r>
    </w:p>
    <w:p w:rsidR="006D77CF" w:rsidRDefault="006D77C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p>
    <w:p w:rsidR="006D77CF" w:rsidRDefault="006D77CF">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r>
        <w:rPr>
          <w:b/>
          <w:caps/>
          <w:lang w:eastAsia="en-US"/>
        </w:rPr>
        <w:t>A</w:t>
      </w:r>
      <w:r>
        <w:rPr>
          <w:b/>
          <w:lang w:eastAsia="en-US"/>
        </w:rPr>
        <w:t xml:space="preserve">nnexe VI.1 </w:t>
      </w:r>
      <w:r>
        <w:rPr>
          <w:b/>
          <w:caps/>
          <w:lang w:eastAsia="en-US"/>
        </w:rPr>
        <w:t>–</w:t>
      </w:r>
      <w:r>
        <w:rPr>
          <w:b/>
          <w:lang w:eastAsia="en-US"/>
        </w:rPr>
        <w:t xml:space="preserve"> Lot </w:t>
      </w:r>
      <w:r>
        <w:rPr>
          <w:b/>
          <w:caps/>
          <w:lang w:eastAsia="en-US"/>
        </w:rPr>
        <w:t xml:space="preserve">1 : </w:t>
      </w:r>
      <w:r>
        <w:rPr>
          <w:b/>
          <w:lang w:eastAsia="en-US"/>
        </w:rPr>
        <w:t>P</w:t>
      </w:r>
      <w:r w:rsidRPr="006D77CF">
        <w:rPr>
          <w:b/>
          <w:lang w:eastAsia="en-US"/>
        </w:rPr>
        <w:t>restations d’instruction et de contrôle des dossiers de subvention européenne (gestion partagée et mécanisme thématique en gestion partagée</w:t>
      </w:r>
      <w:r w:rsidRPr="006D77CF">
        <w:rPr>
          <w:b/>
          <w:caps/>
          <w:lang w:eastAsia="en-US"/>
        </w:rPr>
        <w:t>)</w:t>
      </w:r>
    </w:p>
    <w:p w:rsidR="00CE3D23" w:rsidRDefault="00CE3D23">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rPr>
          <w:b/>
          <w:sz w:val="22"/>
          <w:szCs w:val="22"/>
          <w:lang w:eastAsia="en-US"/>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CE3D23">
      <w:pPr>
        <w:spacing w:after="0" w:line="100" w:lineRule="atLeast"/>
        <w:rPr>
          <w:b/>
          <w:sz w:val="22"/>
          <w:szCs w:val="22"/>
          <w:lang w:eastAsia="fr-FR"/>
        </w:rPr>
      </w:pPr>
    </w:p>
    <w:p w:rsidR="00CE3D23" w:rsidRDefault="00E0523F">
      <w:pPr>
        <w:pStyle w:val="Paragraphedeliste"/>
        <w:ind w:left="0"/>
        <w:rPr>
          <w:b/>
          <w:sz w:val="22"/>
          <w:szCs w:val="22"/>
          <w:u w:val="single"/>
        </w:rPr>
      </w:pPr>
      <w:r>
        <w:rPr>
          <w:b/>
          <w:sz w:val="22"/>
          <w:szCs w:val="22"/>
          <w:u w:val="single"/>
        </w:rPr>
        <w:lastRenderedPageBreak/>
        <w:t>Généralités</w:t>
      </w:r>
    </w:p>
    <w:p w:rsidR="00CE3D23" w:rsidRDefault="00E0523F">
      <w:pPr>
        <w:pStyle w:val="Paragraphedeliste"/>
        <w:ind w:left="0"/>
        <w:rPr>
          <w:rFonts w:eastAsia="SimSun"/>
          <w:color w:val="000000"/>
          <w:sz w:val="22"/>
          <w:szCs w:val="22"/>
          <w:lang w:bidi="hi-IN"/>
        </w:rPr>
      </w:pPr>
      <w:r>
        <w:rPr>
          <w:rFonts w:eastAsia="SimSun"/>
          <w:color w:val="000000"/>
          <w:sz w:val="22"/>
          <w:szCs w:val="22"/>
          <w:lang w:bidi="hi-IN"/>
        </w:rPr>
        <w:t>L’offre technique doit prendre en compte l’ensemble des documents du dossier de consultation. Elle permet à l’administration d’apprécier la capacité du candidat à répondre aux objectifs de l’accord-cadre.</w:t>
      </w:r>
    </w:p>
    <w:p w:rsidR="00CE3D23" w:rsidRDefault="00E0523F">
      <w:pPr>
        <w:pStyle w:val="Paragraphedeliste"/>
        <w:ind w:left="0"/>
        <w:rPr>
          <w:rFonts w:eastAsia="SimSun"/>
          <w:color w:val="000000"/>
          <w:sz w:val="22"/>
          <w:szCs w:val="22"/>
          <w:lang w:bidi="hi-IN"/>
        </w:rPr>
      </w:pPr>
      <w:r>
        <w:rPr>
          <w:rFonts w:eastAsia="SimSun"/>
          <w:color w:val="000000"/>
          <w:sz w:val="22"/>
          <w:szCs w:val="22"/>
          <w:lang w:bidi="hi-IN"/>
        </w:rPr>
        <w:t xml:space="preserve">Le candidat développe dans l’ordre les points détaillés dans le présent CRT. Il peut enrichir sa réponse de toute information qu’il estime propre à permettre une meilleure appréciation des renseignements fournis. </w:t>
      </w:r>
    </w:p>
    <w:p w:rsidR="00CE3D23" w:rsidRDefault="00E0523F">
      <w:pPr>
        <w:pStyle w:val="Paragraphedeliste"/>
        <w:ind w:left="0"/>
        <w:rPr>
          <w:rFonts w:eastAsia="SimSun"/>
          <w:color w:val="000000"/>
          <w:sz w:val="22"/>
          <w:szCs w:val="22"/>
          <w:lang w:bidi="hi-IN"/>
        </w:rPr>
      </w:pPr>
      <w:r>
        <w:rPr>
          <w:rFonts w:eastAsia="SimSun"/>
          <w:color w:val="000000"/>
          <w:sz w:val="22"/>
          <w:szCs w:val="22"/>
          <w:lang w:bidi="hi-IN"/>
        </w:rPr>
        <w:t xml:space="preserve">L’ensemble des engagements qui sont consignés dans les documents précités sont contractuels et exécutoires. </w:t>
      </w:r>
    </w:p>
    <w:p w:rsidR="00E0523F" w:rsidRDefault="00E0523F">
      <w:pPr>
        <w:pStyle w:val="Paragraphedeliste"/>
        <w:ind w:left="0"/>
        <w:rPr>
          <w:rFonts w:eastAsia="SimSun"/>
          <w:color w:val="000000"/>
          <w:sz w:val="22"/>
          <w:szCs w:val="22"/>
          <w:lang w:bidi="hi-IN"/>
        </w:rPr>
      </w:pPr>
    </w:p>
    <w:p w:rsidR="00CE3D23" w:rsidRDefault="00E0523F">
      <w:pPr>
        <w:pStyle w:val="Titre2"/>
        <w:numPr>
          <w:ilvl w:val="1"/>
          <w:numId w:val="2"/>
        </w:numPr>
        <w:tabs>
          <w:tab w:val="clear" w:pos="993"/>
        </w:tabs>
        <w:spacing w:before="0" w:after="160"/>
        <w:jc w:val="left"/>
        <w:rPr>
          <w:color w:val="000000"/>
          <w:sz w:val="22"/>
          <w:szCs w:val="22"/>
        </w:rPr>
      </w:pPr>
      <w:r>
        <w:rPr>
          <w:color w:val="000000"/>
          <w:sz w:val="22"/>
          <w:szCs w:val="22"/>
        </w:rPr>
        <w:t>Sous-critère technique 1 : Compréhension de l’objet du lot et de ses enjeux</w:t>
      </w:r>
      <w:r w:rsidR="00630F8B">
        <w:rPr>
          <w:color w:val="000000"/>
          <w:sz w:val="22"/>
          <w:szCs w:val="22"/>
        </w:rPr>
        <w:t xml:space="preserve"> (17,5 points)</w:t>
      </w:r>
    </w:p>
    <w:p w:rsidR="00CE3D23" w:rsidRDefault="00E0523F">
      <w:pPr>
        <w:pStyle w:val="western"/>
        <w:spacing w:before="280" w:after="0"/>
        <w:rPr>
          <w:rFonts w:ascii="Marianne" w:hAnsi="Marianne" w:cs="Arial"/>
          <w:spacing w:val="0"/>
        </w:rPr>
      </w:pPr>
      <w:r>
        <w:rPr>
          <w:rFonts w:ascii="Marianne" w:hAnsi="Marianne" w:cs="Arial"/>
          <w:spacing w:val="0"/>
        </w:rPr>
        <w:t>Le candidat établira une synthèse de son offre adaptée et conforme à l’objet du lot qui précisera en particulier : sa compréhension de l’objet du lot, de ses enjeux et du niveau d'ambition attendu ;</w:t>
      </w:r>
      <w:r>
        <w:t xml:space="preserve"> </w:t>
      </w:r>
      <w:r>
        <w:rPr>
          <w:rFonts w:ascii="Marianne" w:hAnsi="Marianne" w:cs="Arial"/>
          <w:spacing w:val="0"/>
        </w:rPr>
        <w:t>la démarche/méthodologie qu’il souhaite mettre en œuvre ainsi que les outils qu’il souhaite utiliser ;</w:t>
      </w:r>
      <w:r>
        <w:t xml:space="preserve"> </w:t>
      </w:r>
      <w:r>
        <w:rPr>
          <w:rFonts w:ascii="Marianne" w:hAnsi="Marianne" w:cs="Arial"/>
          <w:spacing w:val="0"/>
        </w:rPr>
        <w:t>les compétences qu’il prévoit de mobiliser et qu’il s’envisage de mettre en œuvre.</w:t>
      </w:r>
    </w:p>
    <w:p w:rsidR="00CE3D23" w:rsidRPr="00630F8B" w:rsidRDefault="00E0523F" w:rsidP="00630F8B">
      <w:pPr>
        <w:pStyle w:val="Titre3"/>
      </w:pPr>
      <w:r w:rsidRPr="00630F8B">
        <w:t>Item 1.1 : L'offre du candidat démontre sa bonne compréhension de l'objet du lot et des prestations du lot, de leurs enjeux et du niveau attendu par l'administration, voire des risques en cas de défaillance</w:t>
      </w:r>
      <w:r w:rsidR="00630F8B" w:rsidRPr="00630F8B">
        <w:t xml:space="preserve"> (9 points)</w:t>
      </w:r>
    </w:p>
    <w:p w:rsidR="00630F8B" w:rsidRDefault="00630F8B" w:rsidP="00630F8B">
      <w:pPr>
        <w:pStyle w:val="western"/>
        <w:spacing w:before="280" w:after="240" w:afterAutospacing="0"/>
        <w:ind w:left="720"/>
        <w:rPr>
          <w:rFonts w:ascii="Marianne" w:hAnsi="Marianne" w:cs="Arial"/>
          <w:spacing w:val="0"/>
        </w:rPr>
      </w:pPr>
      <w:r>
        <w:rPr>
          <w:rFonts w:ascii="Marianne" w:hAnsi="Marianne" w:cs="Arial"/>
          <w:spacing w:val="0"/>
        </w:rPr>
        <w:t xml:space="preserve">L’offre doit permettre de présenter : </w:t>
      </w:r>
    </w:p>
    <w:p w:rsidR="00630F8B" w:rsidRPr="00630F8B" w:rsidRDefault="00630F8B" w:rsidP="00630F8B">
      <w:pPr>
        <w:pStyle w:val="western"/>
        <w:numPr>
          <w:ilvl w:val="0"/>
          <w:numId w:val="19"/>
        </w:numPr>
        <w:spacing w:before="280" w:after="240"/>
        <w:rPr>
          <w:rFonts w:ascii="Marianne" w:hAnsi="Marianne" w:cs="Arial"/>
          <w:spacing w:val="0"/>
        </w:rPr>
      </w:pPr>
      <w:proofErr w:type="gramStart"/>
      <w:r w:rsidRPr="00630F8B">
        <w:rPr>
          <w:rFonts w:ascii="Marianne" w:hAnsi="Marianne" w:cs="Arial"/>
          <w:spacing w:val="0"/>
        </w:rPr>
        <w:t>une</w:t>
      </w:r>
      <w:proofErr w:type="gramEnd"/>
      <w:r w:rsidRPr="00630F8B">
        <w:rPr>
          <w:rFonts w:ascii="Marianne" w:hAnsi="Marianne" w:cs="Arial"/>
          <w:spacing w:val="0"/>
        </w:rPr>
        <w:t xml:space="preserve"> analyse du contexte et des enjeux liés à l’instruction et au contrôle des fonds européens pour le ministère de l’Intérieur.) ;</w:t>
      </w:r>
    </w:p>
    <w:p w:rsidR="00630F8B" w:rsidRDefault="00630F8B" w:rsidP="00630F8B">
      <w:pPr>
        <w:pStyle w:val="western"/>
        <w:numPr>
          <w:ilvl w:val="0"/>
          <w:numId w:val="19"/>
        </w:numPr>
        <w:spacing w:before="280" w:after="240" w:afterAutospacing="0"/>
        <w:rPr>
          <w:rFonts w:ascii="Marianne" w:hAnsi="Marianne" w:cs="Arial"/>
          <w:spacing w:val="0"/>
        </w:rPr>
      </w:pPr>
      <w:proofErr w:type="gramStart"/>
      <w:r w:rsidRPr="00630F8B">
        <w:rPr>
          <w:rFonts w:ascii="Marianne" w:hAnsi="Marianne" w:cs="Arial"/>
          <w:spacing w:val="0"/>
        </w:rPr>
        <w:t>les</w:t>
      </w:r>
      <w:proofErr w:type="gramEnd"/>
      <w:r w:rsidRPr="00630F8B">
        <w:rPr>
          <w:rFonts w:ascii="Marianne" w:hAnsi="Marianne" w:cs="Arial"/>
          <w:spacing w:val="0"/>
        </w:rPr>
        <w:t xml:space="preserve"> procédures prévues en matière de maîtrise des risques</w:t>
      </w:r>
      <w:r w:rsidR="009821CD">
        <w:rPr>
          <w:rFonts w:ascii="Marianne" w:hAnsi="Marianne" w:cs="Arial"/>
          <w:spacing w:val="0"/>
        </w:rPr>
        <w:t xml:space="preserve">. </w:t>
      </w:r>
    </w:p>
    <w:p w:rsidR="00630F8B" w:rsidRDefault="00630F8B" w:rsidP="00630F8B">
      <w:pPr>
        <w:pStyle w:val="Titre3"/>
      </w:pPr>
      <w:r>
        <w:t>Item 1.2</w:t>
      </w:r>
      <w:r w:rsidR="00E0523F">
        <w:t xml:space="preserve"> : Les modalités d'exécution de la prestation (exécution personnelle, sous-traitance) sont présentées clairement. L'information est lisible et il est facilement possible de comprendre s'il y aura une exécution personnelle ou en sous-traitance en fonction des prestations</w:t>
      </w:r>
      <w:r>
        <w:t xml:space="preserve"> (</w:t>
      </w:r>
      <w:r w:rsidRPr="00630F8B">
        <w:t>8,5</w:t>
      </w:r>
      <w:r>
        <w:t xml:space="preserve"> points)</w:t>
      </w:r>
    </w:p>
    <w:p w:rsidR="00630F8B" w:rsidRPr="00630F8B" w:rsidRDefault="00630F8B" w:rsidP="00630F8B"/>
    <w:p w:rsidR="00CE3D23" w:rsidRDefault="00E0523F" w:rsidP="00630F8B">
      <w:pPr>
        <w:pStyle w:val="Titre2"/>
        <w:numPr>
          <w:ilvl w:val="1"/>
          <w:numId w:val="2"/>
        </w:numPr>
        <w:spacing w:before="0" w:after="160"/>
        <w:jc w:val="left"/>
        <w:rPr>
          <w:color w:val="000000"/>
          <w:sz w:val="22"/>
          <w:szCs w:val="22"/>
        </w:rPr>
      </w:pPr>
      <w:r>
        <w:rPr>
          <w:color w:val="000000"/>
          <w:sz w:val="22"/>
          <w:szCs w:val="22"/>
        </w:rPr>
        <w:t>Sous-critère technique 2 : Adéquation de la Démarche méthodologique</w:t>
      </w:r>
      <w:r w:rsidR="00D82B69">
        <w:rPr>
          <w:color w:val="000000"/>
          <w:sz w:val="22"/>
          <w:szCs w:val="22"/>
        </w:rPr>
        <w:t xml:space="preserve"> (17,5 points)</w:t>
      </w:r>
    </w:p>
    <w:p w:rsidR="00CE3D23" w:rsidRDefault="00E0523F">
      <w:pPr>
        <w:pStyle w:val="western"/>
        <w:spacing w:before="280" w:after="0"/>
        <w:rPr>
          <w:rFonts w:ascii="Marianne" w:hAnsi="Marianne" w:cs="Arial"/>
          <w:spacing w:val="0"/>
        </w:rPr>
      </w:pPr>
      <w:r>
        <w:rPr>
          <w:rFonts w:ascii="Marianne" w:hAnsi="Marianne" w:cs="Arial"/>
          <w:spacing w:val="0"/>
        </w:rPr>
        <w:t>Le candidat présente la méthodologie qu’il entend mettre en œuvre pour garantir la bonne exécution des prestations du lot dont il a la charge et notamment la constitution, la complétude et le suivi du dossier. Si le candidat a recours à des outils particuliers pour mener à bien ses missions, il les présente également.</w:t>
      </w:r>
    </w:p>
    <w:p w:rsidR="00CE3D23" w:rsidRDefault="00E0523F">
      <w:pPr>
        <w:pStyle w:val="western"/>
        <w:spacing w:before="280" w:after="0"/>
        <w:rPr>
          <w:rFonts w:ascii="Marianne" w:hAnsi="Marianne" w:cs="Arial"/>
          <w:spacing w:val="0"/>
        </w:rPr>
      </w:pPr>
      <w:r>
        <w:rPr>
          <w:rFonts w:ascii="Marianne" w:hAnsi="Marianne" w:cs="Arial"/>
          <w:spacing w:val="0"/>
        </w:rPr>
        <w:lastRenderedPageBreak/>
        <w:t>Il devra illustrer cette partie par des exemples de livrables, en précisant leur contenu, leur adéquation et leur intérêt dans le cadre du lot concerné en fonction de la prestation.</w:t>
      </w:r>
    </w:p>
    <w:p w:rsidR="00CE3D23" w:rsidRDefault="00E0523F">
      <w:pPr>
        <w:pStyle w:val="western"/>
        <w:spacing w:before="280" w:after="0"/>
        <w:rPr>
          <w:rFonts w:ascii="Marianne" w:hAnsi="Marianne" w:cs="Arial"/>
          <w:spacing w:val="0"/>
        </w:rPr>
      </w:pPr>
      <w:r>
        <w:rPr>
          <w:rFonts w:ascii="Marianne" w:hAnsi="Marianne" w:cs="Arial"/>
          <w:spacing w:val="0"/>
        </w:rPr>
        <w:t>Il devra également indiquer précisément quelles modalités de travail il mettra en œuvre pour travailler avec la personne publique (outils collaboratifs, partage de documents, modalité et fréquence des réunions et d’échanges, etc.).</w:t>
      </w:r>
    </w:p>
    <w:p w:rsidR="00CE3D23" w:rsidRDefault="00E0523F" w:rsidP="00D82B69">
      <w:pPr>
        <w:pStyle w:val="Titre3"/>
      </w:pPr>
      <w:r>
        <w:t>Item 2.1 : La méthodologie mise en œuvre pour la bonne exécution des prestations du lot dont il a la charge est claire, lisible et adapt</w:t>
      </w:r>
      <w:r w:rsidR="00D82B69">
        <w:t xml:space="preserve">ée aux </w:t>
      </w:r>
      <w:r w:rsidR="00D82B69" w:rsidRPr="00D82B69">
        <w:rPr>
          <w:lang w:eastAsia="fr-FR"/>
        </w:rPr>
        <w:t>prestations du lot (7 points)</w:t>
      </w:r>
    </w:p>
    <w:p w:rsidR="00D82B69" w:rsidRPr="00D82B69" w:rsidRDefault="00D82B69" w:rsidP="00D82B69">
      <w:pPr>
        <w:rPr>
          <w:sz w:val="22"/>
          <w:szCs w:val="22"/>
          <w:lang w:eastAsia="fr-FR"/>
        </w:rPr>
      </w:pPr>
      <w:r w:rsidRPr="00D82B69">
        <w:rPr>
          <w:sz w:val="22"/>
          <w:szCs w:val="22"/>
          <w:lang w:eastAsia="fr-FR"/>
        </w:rPr>
        <w:t xml:space="preserve">Le candidat </w:t>
      </w:r>
      <w:r w:rsidR="009821CD">
        <w:rPr>
          <w:sz w:val="22"/>
          <w:szCs w:val="22"/>
          <w:lang w:eastAsia="fr-FR"/>
        </w:rPr>
        <w:t>présente les modalités de sa collaboration avec</w:t>
      </w:r>
      <w:r w:rsidRPr="00D82B69">
        <w:rPr>
          <w:sz w:val="22"/>
          <w:szCs w:val="22"/>
          <w:lang w:eastAsia="fr-FR"/>
        </w:rPr>
        <w:t xml:space="preserve"> les services bénéficiaires</w:t>
      </w:r>
      <w:r w:rsidR="009821CD">
        <w:rPr>
          <w:sz w:val="22"/>
          <w:szCs w:val="22"/>
          <w:lang w:eastAsia="fr-FR"/>
        </w:rPr>
        <w:t xml:space="preserve"> </w:t>
      </w:r>
      <w:r w:rsidRPr="00D82B69">
        <w:rPr>
          <w:sz w:val="22"/>
          <w:szCs w:val="22"/>
          <w:lang w:eastAsia="fr-FR"/>
        </w:rPr>
        <w:t xml:space="preserve">afin de permettre une réalisation rapide sinon optimisée, fiable et efficace de l’ensemble des prestations. </w:t>
      </w:r>
    </w:p>
    <w:p w:rsidR="00D82B69" w:rsidRPr="00D82B69" w:rsidRDefault="00E0523F" w:rsidP="009821CD">
      <w:pPr>
        <w:pStyle w:val="Titre3"/>
        <w:rPr>
          <w:lang w:eastAsia="fr-FR"/>
        </w:rPr>
      </w:pPr>
      <w:r w:rsidRPr="00400A8C">
        <w:rPr>
          <w:lang w:eastAsia="fr-FR"/>
        </w:rPr>
        <w:t>Item 2.2 : Les exemples de livrables cités sont en adéquation avec l'objet du lot et leur contenu et leur intérêt est pertinent par rapport à l’objet du lot</w:t>
      </w:r>
      <w:r w:rsidR="00D82B69">
        <w:rPr>
          <w:lang w:eastAsia="fr-FR"/>
        </w:rPr>
        <w:t xml:space="preserve"> (</w:t>
      </w:r>
      <w:r w:rsidR="00D82B69" w:rsidRPr="00D82B69">
        <w:rPr>
          <w:lang w:eastAsia="fr-FR"/>
        </w:rPr>
        <w:t>3.5 points)</w:t>
      </w:r>
    </w:p>
    <w:p w:rsidR="00D82B69" w:rsidRPr="00D82B69" w:rsidRDefault="00E0523F" w:rsidP="009821CD">
      <w:pPr>
        <w:pStyle w:val="Titre3"/>
        <w:rPr>
          <w:lang w:eastAsia="fr-FR"/>
        </w:rPr>
      </w:pPr>
      <w:r w:rsidRPr="00400A8C">
        <w:rPr>
          <w:lang w:eastAsia="fr-FR"/>
        </w:rPr>
        <w:t>Item 2.3 : Les outils qu'il prévoit de mobiliser correspondent à ceux prévus pour les prestations du lot</w:t>
      </w:r>
      <w:r w:rsidR="00D82B69">
        <w:rPr>
          <w:lang w:eastAsia="fr-FR"/>
        </w:rPr>
        <w:t xml:space="preserve"> (</w:t>
      </w:r>
      <w:r w:rsidR="00D82B69" w:rsidRPr="00D82B69">
        <w:rPr>
          <w:lang w:eastAsia="fr-FR"/>
        </w:rPr>
        <w:t>3.5 points)</w:t>
      </w:r>
    </w:p>
    <w:p w:rsidR="00D82B69" w:rsidRPr="00D82B69" w:rsidRDefault="00E0523F" w:rsidP="009821CD">
      <w:pPr>
        <w:pStyle w:val="Titre3"/>
        <w:rPr>
          <w:lang w:eastAsia="fr-FR"/>
        </w:rPr>
      </w:pPr>
      <w:r w:rsidRPr="00400A8C">
        <w:rPr>
          <w:lang w:eastAsia="fr-FR"/>
        </w:rPr>
        <w:t>Item 2.4 : Les modalités de travail avec l'administration sont décrites avec précision</w:t>
      </w:r>
      <w:r w:rsidR="00D82B69">
        <w:rPr>
          <w:lang w:eastAsia="fr-FR"/>
        </w:rPr>
        <w:t xml:space="preserve"> (</w:t>
      </w:r>
      <w:r w:rsidR="00D82B69" w:rsidRPr="00D82B69">
        <w:rPr>
          <w:lang w:eastAsia="fr-FR"/>
        </w:rPr>
        <w:t>3.5 points)</w:t>
      </w:r>
    </w:p>
    <w:p w:rsidR="00CE3D23" w:rsidRDefault="00CE3D23">
      <w:pPr>
        <w:spacing w:after="0"/>
        <w:rPr>
          <w:rFonts w:cs="Calibri"/>
          <w:bCs/>
          <w:szCs w:val="20"/>
        </w:rPr>
      </w:pPr>
    </w:p>
    <w:p w:rsidR="00CE3D23" w:rsidRDefault="00E0523F">
      <w:pPr>
        <w:pStyle w:val="Titre2"/>
        <w:numPr>
          <w:ilvl w:val="1"/>
          <w:numId w:val="2"/>
        </w:numPr>
        <w:spacing w:before="0" w:after="160"/>
        <w:rPr>
          <w:color w:val="000000"/>
          <w:sz w:val="22"/>
          <w:szCs w:val="22"/>
        </w:rPr>
      </w:pPr>
      <w:r>
        <w:rPr>
          <w:color w:val="000000"/>
          <w:sz w:val="22"/>
          <w:szCs w:val="22"/>
        </w:rPr>
        <w:t>Sous-critère technique 3 : Diversité et Pertinence des compétences mobilisables</w:t>
      </w:r>
      <w:r w:rsidR="00D82B69">
        <w:rPr>
          <w:color w:val="000000"/>
          <w:sz w:val="22"/>
          <w:szCs w:val="22"/>
        </w:rPr>
        <w:t xml:space="preserve"> (17,5 points)</w:t>
      </w:r>
    </w:p>
    <w:p w:rsidR="00CE3D23" w:rsidRDefault="00E0523F">
      <w:pPr>
        <w:spacing w:before="0" w:after="160"/>
        <w:rPr>
          <w:color w:val="000000"/>
          <w:sz w:val="22"/>
          <w:szCs w:val="22"/>
        </w:rPr>
      </w:pPr>
      <w:r>
        <w:rPr>
          <w:color w:val="000000"/>
          <w:sz w:val="22"/>
          <w:szCs w:val="22"/>
        </w:rPr>
        <w:t>Le candidat s’attachera à décrire précisément les ressources effectivement mobilisables dans le cadre des projets, en précisant le nombre, le parcours professionnel, le niveau d’ancienneté et d’expertise de celles-ci ainsi que la couverture des compétences obtenue et notamment sur les fonds européens, le contrôle financier, les marchés publics, les aides d’État, les frais de personnel par exemple sous la forme d’un tableau synthétique. Il n’est pas attendu de CV détaillés.</w:t>
      </w:r>
    </w:p>
    <w:p w:rsidR="00CE3D23" w:rsidRDefault="00E0523F" w:rsidP="00D82B69">
      <w:pPr>
        <w:pStyle w:val="Titre3"/>
      </w:pPr>
      <w:r>
        <w:t>Item 3.1 : Les ressources mobilisables décrites par le candidat dans son offre couvrent l'ensemble des compétences attendues</w:t>
      </w:r>
      <w:r w:rsidR="00D82B69">
        <w:t xml:space="preserve"> (5,</w:t>
      </w:r>
      <w:r w:rsidR="00D82B69" w:rsidRPr="00D82B69">
        <w:t>5 points)</w:t>
      </w:r>
    </w:p>
    <w:p w:rsidR="00D82B69" w:rsidRPr="00D82B69" w:rsidRDefault="00D82B69" w:rsidP="00D82B69">
      <w:pPr>
        <w:rPr>
          <w:color w:val="000000"/>
          <w:sz w:val="22"/>
          <w:szCs w:val="22"/>
        </w:rPr>
      </w:pPr>
      <w:r w:rsidRPr="00D82B69">
        <w:rPr>
          <w:color w:val="000000"/>
          <w:sz w:val="22"/>
          <w:szCs w:val="22"/>
        </w:rPr>
        <w:t>Le candidat présente ici l’équipe chargée de veiller à la bonne exécution des prestations pour le lot concerné.</w:t>
      </w:r>
    </w:p>
    <w:p w:rsidR="00CE3D23" w:rsidRDefault="00E0523F" w:rsidP="00D82B69">
      <w:pPr>
        <w:pStyle w:val="Titre3"/>
      </w:pPr>
      <w:r>
        <w:t>Item 3.2 : L'équipe proposée par le candidat dans son offre pour chacune des prestations est composée des profils pertinents pour répondre au besoin exprimé par l'administration</w:t>
      </w:r>
      <w:r w:rsidR="00D82B69">
        <w:t xml:space="preserve"> (5,5 points)</w:t>
      </w:r>
    </w:p>
    <w:p w:rsidR="00D82B69" w:rsidRPr="00D82B69" w:rsidRDefault="00D82B69" w:rsidP="00D82B69">
      <w:pPr>
        <w:rPr>
          <w:sz w:val="22"/>
          <w:szCs w:val="22"/>
          <w:lang w:eastAsia="fr-FR"/>
        </w:rPr>
      </w:pPr>
      <w:r w:rsidRPr="00D82B69">
        <w:rPr>
          <w:sz w:val="22"/>
          <w:szCs w:val="22"/>
          <w:lang w:eastAsia="fr-FR"/>
        </w:rPr>
        <w:t>Le candidat présente ici les équipes dédiées par prestations.</w:t>
      </w:r>
    </w:p>
    <w:p w:rsidR="00CE3D23" w:rsidRDefault="00E0523F">
      <w:pPr>
        <w:pStyle w:val="western"/>
        <w:spacing w:before="280" w:after="0"/>
        <w:rPr>
          <w:rFonts w:ascii="Marianne" w:hAnsi="Marianne" w:cs="Arial"/>
          <w:spacing w:val="0"/>
        </w:rPr>
      </w:pPr>
      <w:r>
        <w:rPr>
          <w:rFonts w:ascii="Marianne" w:hAnsi="Marianne" w:cs="Arial"/>
          <w:spacing w:val="0"/>
        </w:rPr>
        <w:lastRenderedPageBreak/>
        <w:t>Le candidat fourni les CV des membres de cette équipe.</w:t>
      </w:r>
    </w:p>
    <w:p w:rsidR="00CE3D23" w:rsidRDefault="00E0523F" w:rsidP="00D82B69">
      <w:pPr>
        <w:pStyle w:val="Titre3"/>
      </w:pPr>
      <w:r>
        <w:t>Item 3.3 : La répartition de la charge de travail proposée entre les profils qui composent les équipes est en adéquation avec le contenu des prestations</w:t>
      </w:r>
      <w:r w:rsidR="00D82B69">
        <w:t xml:space="preserve"> (6,5 points)</w:t>
      </w:r>
    </w:p>
    <w:p w:rsidR="00D82B69" w:rsidRPr="00D82B69" w:rsidRDefault="00D82B69" w:rsidP="00D82B69"/>
    <w:p w:rsidR="00CE3D23" w:rsidRDefault="00E0523F">
      <w:pPr>
        <w:pStyle w:val="Titre2"/>
        <w:numPr>
          <w:ilvl w:val="1"/>
          <w:numId w:val="2"/>
        </w:numPr>
        <w:spacing w:before="0" w:after="160"/>
        <w:rPr>
          <w:color w:val="000000"/>
          <w:sz w:val="22"/>
          <w:szCs w:val="22"/>
        </w:rPr>
      </w:pPr>
      <w:r>
        <w:rPr>
          <w:color w:val="000000"/>
          <w:sz w:val="22"/>
          <w:szCs w:val="22"/>
        </w:rPr>
        <w:t>Sous-critère technique 4 : Capacité à conduire les prestations</w:t>
      </w:r>
      <w:r w:rsidR="00E0411E">
        <w:rPr>
          <w:color w:val="000000"/>
          <w:sz w:val="22"/>
          <w:szCs w:val="22"/>
        </w:rPr>
        <w:t xml:space="preserve"> (17,5 points)</w:t>
      </w:r>
    </w:p>
    <w:p w:rsidR="00CE3D23" w:rsidRDefault="00E0523F">
      <w:pPr>
        <w:pStyle w:val="western"/>
        <w:spacing w:before="280" w:after="0"/>
        <w:rPr>
          <w:rFonts w:ascii="Marianne" w:hAnsi="Marianne" w:cs="Arial"/>
          <w:spacing w:val="0"/>
        </w:rPr>
      </w:pPr>
      <w:r>
        <w:rPr>
          <w:rFonts w:ascii="Marianne" w:hAnsi="Marianne" w:cs="Arial"/>
          <w:spacing w:val="0"/>
        </w:rPr>
        <w:t>Le candidat s’attachera à décrire la méthodologie mise en œuvre pour le respect des délais, quelle que soit la charge du bon de commande, ainsi que la méthodologie pour s’assurer de l’absence de conflit d’intérêt.</w:t>
      </w:r>
    </w:p>
    <w:p w:rsidR="00CE3D23" w:rsidRDefault="00E0523F" w:rsidP="00D82B69">
      <w:pPr>
        <w:pStyle w:val="Titre3"/>
      </w:pPr>
      <w:r>
        <w:t>Item 4.1 : La méthodologie présentée pour chaque prestation présente un calendrier, celui-ci semble réaliste compte tenu de la charge de travail</w:t>
      </w:r>
      <w:r w:rsidR="00D82B69">
        <w:t xml:space="preserve"> (5,5 points)</w:t>
      </w:r>
    </w:p>
    <w:p w:rsidR="00CE3D23" w:rsidRDefault="00E0523F" w:rsidP="00D82B69">
      <w:pPr>
        <w:pStyle w:val="Titre3"/>
      </w:pPr>
      <w:r>
        <w:t>Item 4.2 : La méthodologie présentée prévoit une capacité du candidat à moduler le nombre de consultants en fonction de la charge des bons de commande</w:t>
      </w:r>
      <w:r w:rsidR="00D82B69">
        <w:t xml:space="preserve"> (7 points)</w:t>
      </w:r>
    </w:p>
    <w:p w:rsidR="00CE3D23" w:rsidRDefault="00E0523F" w:rsidP="00D82B69">
      <w:pPr>
        <w:pStyle w:val="Titre3"/>
      </w:pPr>
      <w:r>
        <w:t>Item 4.3 : Méthodologie pour assurer l'absence de conflit d'intérêt</w:t>
      </w:r>
      <w:r w:rsidR="00D82B69">
        <w:t xml:space="preserve"> (</w:t>
      </w:r>
      <w:bookmarkStart w:id="0" w:name="_GoBack"/>
      <w:r w:rsidR="00E0411E">
        <w:t xml:space="preserve">5 </w:t>
      </w:r>
      <w:bookmarkEnd w:id="0"/>
      <w:r w:rsidR="00D82B69">
        <w:t>points)</w:t>
      </w:r>
    </w:p>
    <w:p w:rsidR="00CE3D23" w:rsidRDefault="00CE3D23">
      <w:pPr>
        <w:spacing w:before="0" w:after="160"/>
        <w:rPr>
          <w:color w:val="000000"/>
          <w:sz w:val="22"/>
          <w:szCs w:val="22"/>
        </w:rPr>
      </w:pPr>
    </w:p>
    <w:sectPr w:rsidR="00CE3D23">
      <w:footerReference w:type="default" r:id="rId13"/>
      <w:pgSz w:w="11906" w:h="16838"/>
      <w:pgMar w:top="1418" w:right="1151" w:bottom="1418" w:left="1151" w:header="0" w:footer="720"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F2566" w16cex:dateUtc="2025-05-22T15:12:00Z"/>
  <w16cex:commentExtensible w16cex:durableId="4A10F05B" w16cex:dateUtc="2025-06-02T15:04:35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41F2566"/>
  <w16cid:commentId w16cid:paraId="00000002" w16cid:durableId="4A10F05B"/>
  <w16cid:commentId w16cid:paraId="00000003" w16cid:durableId="79B0E474"/>
  <w16cid:commentId w16cid:paraId="00000004" w16cid:durableId="05477C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C6E" w:rsidRDefault="00EE2C6E">
      <w:pPr>
        <w:spacing w:before="0" w:after="0"/>
      </w:pPr>
      <w:r>
        <w:separator/>
      </w:r>
    </w:p>
  </w:endnote>
  <w:endnote w:type="continuationSeparator" w:id="0">
    <w:p w:rsidR="00EE2C6E" w:rsidRDefault="00EE2C6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D23" w:rsidRDefault="00CE3D23">
    <w:pPr>
      <w:pStyle w:val="Pieddepage"/>
      <w:rPr>
        <w:lang w:val="en-GB"/>
      </w:rPr>
    </w:pPr>
  </w:p>
  <w:p w:rsidR="00CE3D23" w:rsidRDefault="00E0523F">
    <w:pPr>
      <w:pStyle w:val="Pieddepage"/>
    </w:pPr>
    <w:r>
      <w:tab/>
      <w:t>CRT - PRA031875</w:t>
    </w:r>
    <w:r w:rsidR="00400A8C">
      <w:t xml:space="preserve"> – Lot 1</w:t>
    </w:r>
    <w:r>
      <w:tab/>
    </w:r>
    <w:r>
      <w:rPr>
        <w:rStyle w:val="Numrodepage"/>
      </w:rPr>
      <w:fldChar w:fldCharType="begin"/>
    </w:r>
    <w:r>
      <w:rPr>
        <w:rStyle w:val="Numrodepage"/>
      </w:rPr>
      <w:instrText>PAGE</w:instrText>
    </w:r>
    <w:r>
      <w:rPr>
        <w:rStyle w:val="Numrodepage"/>
      </w:rPr>
      <w:fldChar w:fldCharType="separate"/>
    </w:r>
    <w:r w:rsidR="00BE58A2">
      <w:rPr>
        <w:rStyle w:val="Numrodepage"/>
        <w:noProof/>
      </w:rPr>
      <w:t>4</w:t>
    </w:r>
    <w:r>
      <w:rPr>
        <w:rStyle w:val="Numrodepage"/>
      </w:rPr>
      <w:fldChar w:fldCharType="end"/>
    </w:r>
    <w:r>
      <w:rPr>
        <w:rStyle w:val="Numrodepage"/>
      </w:rPr>
      <w:t>/3</w:t>
    </w:r>
  </w:p>
  <w:p w:rsidR="00CE3D23" w:rsidRDefault="00E0523F">
    <w:pPr>
      <w:pStyle w:val="Pieddepage"/>
      <w:tabs>
        <w:tab w:val="clear" w:pos="4536"/>
        <w:tab w:val="clear" w:pos="9072"/>
        <w:tab w:val="left" w:pos="63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C6E" w:rsidRDefault="00EE2C6E">
      <w:pPr>
        <w:spacing w:before="0" w:after="0"/>
      </w:pPr>
      <w:r>
        <w:separator/>
      </w:r>
    </w:p>
  </w:footnote>
  <w:footnote w:type="continuationSeparator" w:id="0">
    <w:p w:rsidR="00EE2C6E" w:rsidRDefault="00EE2C6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E67"/>
    <w:multiLevelType w:val="multilevel"/>
    <w:tmpl w:val="02FCC3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B9505CA"/>
    <w:multiLevelType w:val="hybridMultilevel"/>
    <w:tmpl w:val="817E5CE8"/>
    <w:lvl w:ilvl="0" w:tplc="B8BCB9F0">
      <w:start w:val="208"/>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DE4E16"/>
    <w:multiLevelType w:val="hybridMultilevel"/>
    <w:tmpl w:val="D7BAB8C6"/>
    <w:lvl w:ilvl="0" w:tplc="B8BCB9F0">
      <w:start w:val="208"/>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2A1C48"/>
    <w:multiLevelType w:val="hybridMultilevel"/>
    <w:tmpl w:val="38683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837AF9"/>
    <w:multiLevelType w:val="multilevel"/>
    <w:tmpl w:val="EC228C6E"/>
    <w:lvl w:ilvl="0">
      <w:start w:val="1"/>
      <w:numFmt w:val="bullet"/>
      <w:lvlText w:val="-"/>
      <w:lvlJc w:val="left"/>
      <w:pPr>
        <w:ind w:left="720" w:hanging="360"/>
      </w:pPr>
      <w:rPr>
        <w:rFonts w:ascii="Marianne" w:eastAsia="Times New Roman" w:hAnsi="Marianne"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18E6C76"/>
    <w:multiLevelType w:val="hybridMultilevel"/>
    <w:tmpl w:val="50B2525C"/>
    <w:lvl w:ilvl="0" w:tplc="B8BCB9F0">
      <w:start w:val="208"/>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A21072"/>
    <w:multiLevelType w:val="hybridMultilevel"/>
    <w:tmpl w:val="3996C1A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59C0D14"/>
    <w:multiLevelType w:val="multilevel"/>
    <w:tmpl w:val="F15610D6"/>
    <w:lvl w:ilvl="0">
      <w:start w:val="1"/>
      <w:numFmt w:val="bullet"/>
      <w:lvlText w:val="-"/>
      <w:lvlJc w:val="left"/>
      <w:pPr>
        <w:ind w:left="720" w:hanging="360"/>
      </w:pPr>
      <w:rPr>
        <w:rFonts w:ascii="Marianne" w:eastAsia="Times New Roman" w:hAnsi="Marianne"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1EF6A63"/>
    <w:multiLevelType w:val="multilevel"/>
    <w:tmpl w:val="65CCCD42"/>
    <w:lvl w:ilvl="0">
      <w:start w:val="1"/>
      <w:numFmt w:val="bullet"/>
      <w:lvlText w:val="-"/>
      <w:lvlJc w:val="left"/>
      <w:pPr>
        <w:ind w:left="720" w:hanging="360"/>
      </w:pPr>
      <w:rPr>
        <w:rFonts w:ascii="Marianne" w:eastAsia="Times New Roman" w:hAnsi="Marianne"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A4693E"/>
    <w:multiLevelType w:val="hybridMultilevel"/>
    <w:tmpl w:val="8AB4B56C"/>
    <w:lvl w:ilvl="0" w:tplc="B8BCB9F0">
      <w:start w:val="208"/>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CBC366C"/>
    <w:multiLevelType w:val="multilevel"/>
    <w:tmpl w:val="173243F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3E1455B8"/>
    <w:multiLevelType w:val="multilevel"/>
    <w:tmpl w:val="754EA5BC"/>
    <w:lvl w:ilvl="0">
      <w:start w:val="1"/>
      <w:numFmt w:val="bullet"/>
      <w:lvlText w:val="-"/>
      <w:lvlJc w:val="left"/>
      <w:pPr>
        <w:ind w:left="720" w:hanging="360"/>
      </w:pPr>
      <w:rPr>
        <w:rFonts w:ascii="Marianne" w:hAnsi="Marianne" w:cs="Marianne"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62BB5FD1"/>
    <w:multiLevelType w:val="multilevel"/>
    <w:tmpl w:val="306E79B8"/>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6D551330"/>
    <w:multiLevelType w:val="multilevel"/>
    <w:tmpl w:val="73C8536A"/>
    <w:lvl w:ilvl="0">
      <w:start w:val="1"/>
      <w:numFmt w:val="none"/>
      <w:suff w:val="nothing"/>
      <w:lvlText w:val=""/>
      <w:lvlJc w:val="left"/>
      <w:pPr>
        <w:ind w:left="0" w:firstLine="0"/>
      </w:pPr>
    </w:lvl>
    <w:lvl w:ilvl="1">
      <w:start w:val="1"/>
      <w:numFmt w:val="decimal"/>
      <w:pStyle w:val="Titre2"/>
      <w:lvlText w:val="%2."/>
      <w:lvlJc w:val="left"/>
      <w:pPr>
        <w:tabs>
          <w:tab w:val="num" w:pos="720"/>
        </w:tabs>
        <w:ind w:left="0" w:firstLine="0"/>
      </w:pPr>
      <w:rPr>
        <w:rFonts w:cs="Arial"/>
        <w:b/>
        <w:i w:val="0"/>
        <w:sz w:val="22"/>
        <w:u w:val="none"/>
      </w:rPr>
    </w:lvl>
    <w:lvl w:ilvl="2">
      <w:start w:val="1"/>
      <w:numFmt w:val="none"/>
      <w:suff w:val="nothing"/>
      <w:lvlText w:val="巑▰:剐张█:█:⤎巑▰:휬ﲰ庛⹘腀띠묠꩎♪"/>
      <w:lvlJc w:val="left"/>
      <w:pPr>
        <w:ind w:left="0" w:firstLine="0"/>
      </w:pPr>
    </w:lvl>
    <w:lvl w:ilvl="3">
      <w:start w:val="1"/>
      <w:numFmt w:val="none"/>
      <w:suff w:val="nothing"/>
      <w:lvlText w:val="巑▰:剐张█:█:⤎巑▰:휬ﲰ庛⹘腀띠묠꩎♪"/>
      <w:lvlJc w:val="left"/>
      <w:pPr>
        <w:ind w:left="0" w:firstLine="0"/>
      </w:pPr>
    </w:lvl>
    <w:lvl w:ilvl="4">
      <w:start w:val="1"/>
      <w:numFmt w:val="none"/>
      <w:suff w:val="nothing"/>
      <w:lvlText w:val="巑▰:剐张█:█:⤎巑▰:휬ﲰ庛⹘腀띠묠꩎♪"/>
      <w:lvlJc w:val="left"/>
      <w:pPr>
        <w:ind w:left="0" w:firstLine="0"/>
      </w:pPr>
    </w:lvl>
    <w:lvl w:ilvl="5">
      <w:start w:val="1"/>
      <w:numFmt w:val="none"/>
      <w:suff w:val="nothing"/>
      <w:lvlText w:val="巑▰:剐张█:█:⤎巑▰:휬ﲰ庛⹘腀띠묠꩎♪"/>
      <w:lvlJc w:val="left"/>
      <w:pPr>
        <w:ind w:left="0" w:firstLine="0"/>
      </w:pPr>
    </w:lvl>
    <w:lvl w:ilvl="6">
      <w:start w:val="1"/>
      <w:numFmt w:val="none"/>
      <w:suff w:val="nothing"/>
      <w:lvlText w:val="巑▰:剐张█:█:⤎巑▰:휬ﲰ庛⹘腀띠묠꩎♪"/>
      <w:lvlJc w:val="left"/>
      <w:pPr>
        <w:ind w:left="0" w:firstLine="0"/>
      </w:pPr>
    </w:lvl>
    <w:lvl w:ilvl="7">
      <w:start w:val="1"/>
      <w:numFmt w:val="none"/>
      <w:suff w:val="nothing"/>
      <w:lvlText w:val="巑▰:剐张█:█:⤎巑▰:휬ﲰ庛⹘腀띠묠꩎♪"/>
      <w:lvlJc w:val="left"/>
      <w:pPr>
        <w:ind w:left="0" w:firstLine="0"/>
      </w:pPr>
    </w:lvl>
    <w:lvl w:ilvl="8">
      <w:start w:val="1"/>
      <w:numFmt w:val="none"/>
      <w:suff w:val="nothing"/>
      <w:lvlText w:val="巑▰:剐张█:█:⤎巑▰:휬ﲰ庛⹘腀띠묠꩎♪"/>
      <w:lvlJc w:val="left"/>
      <w:pPr>
        <w:ind w:left="0" w:firstLine="0"/>
      </w:pPr>
    </w:lvl>
  </w:abstractNum>
  <w:abstractNum w:abstractNumId="14" w15:restartNumberingAfterBreak="0">
    <w:nsid w:val="739D2343"/>
    <w:multiLevelType w:val="multilevel"/>
    <w:tmpl w:val="02840168"/>
    <w:lvl w:ilvl="0">
      <w:start w:val="1"/>
      <w:numFmt w:val="upperRoman"/>
      <w:suff w:val="space"/>
      <w:lvlText w:val="Article %1."/>
      <w:lvlJc w:val="left"/>
      <w:pPr>
        <w:ind w:left="710" w:firstLine="0"/>
      </w:pPr>
      <w:rPr>
        <w:rFonts w:cs="Times New Roman"/>
        <w:b w:val="0"/>
        <w:bCs w:val="0"/>
        <w:i w:val="0"/>
        <w:iCs w:val="0"/>
        <w:caps w:val="0"/>
        <w:smallCaps w:val="0"/>
        <w:strike w:val="0"/>
        <w:vanish w:val="0"/>
        <w:color w:val="000000"/>
        <w:spacing w:val="0"/>
        <w:position w:val="0"/>
        <w:sz w:val="0"/>
        <w:szCs w:val="0"/>
        <w:highlight w:val="black"/>
        <w:u w:val="none"/>
        <w:vertAlign w:val="baseline"/>
      </w:rPr>
    </w:lvl>
    <w:lvl w:ilvl="1">
      <w:start w:val="1"/>
      <w:numFmt w:val="decimal"/>
      <w:lvlText w:val="%2."/>
      <w:lvlJc w:val="left"/>
      <w:pPr>
        <w:tabs>
          <w:tab w:val="num" w:pos="720"/>
        </w:tabs>
        <w:ind w:left="0" w:firstLine="0"/>
      </w:pPr>
      <w:rPr>
        <w:rFonts w:cs="Arial"/>
        <w:b/>
        <w:i w:val="0"/>
        <w:sz w:val="22"/>
        <w:u w:val="none"/>
      </w:rPr>
    </w:lvl>
    <w:lvl w:ilvl="2">
      <w:start w:val="1"/>
      <w:numFmt w:val="decimal"/>
      <w:lvlText w:val="%1.%2.%3"/>
      <w:lvlJc w:val="left"/>
      <w:pPr>
        <w:tabs>
          <w:tab w:val="num" w:pos="1440"/>
        </w:tabs>
        <w:ind w:left="1152" w:hanging="432"/>
      </w:pPr>
      <w:rPr>
        <w:rFonts w:cs="Symbol"/>
        <w:b/>
        <w:bCs/>
        <w:sz w:val="26"/>
        <w:szCs w:val="26"/>
        <w:u w:val="none"/>
      </w:rPr>
    </w:lvl>
    <w:lvl w:ilvl="3">
      <w:start w:val="1"/>
      <w:numFmt w:val="decimal"/>
      <w:lvlText w:val="%1.%2.%3.%4"/>
      <w:lvlJc w:val="right"/>
      <w:pPr>
        <w:tabs>
          <w:tab w:val="num" w:pos="1948"/>
        </w:tabs>
        <w:ind w:left="864" w:firstLine="724"/>
      </w:pPr>
      <w:rPr>
        <w:rFonts w:cs="Times New Roman"/>
      </w:rPr>
    </w:lvl>
    <w:lvl w:ilvl="4">
      <w:start w:val="1"/>
      <w:numFmt w:val="none"/>
      <w:suff w:val="nothing"/>
      <w:lvlText w:val="巑▰:剐张█:█:⤎巑▰:휬ﲰ庛⹘腀띠묠꩎♪"/>
      <w:lvlJc w:val="left"/>
      <w:pPr>
        <w:ind w:left="0" w:firstLine="0"/>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77170E18"/>
    <w:multiLevelType w:val="multilevel"/>
    <w:tmpl w:val="D174EBEC"/>
    <w:lvl w:ilvl="0">
      <w:start w:val="1"/>
      <w:numFmt w:val="bullet"/>
      <w:lvlText w:val="-"/>
      <w:lvlJc w:val="left"/>
      <w:pPr>
        <w:ind w:left="720" w:hanging="360"/>
      </w:pPr>
      <w:rPr>
        <w:rFonts w:ascii="Marianne" w:eastAsia="Times New Roman" w:hAnsi="Marianne"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11"/>
  </w:num>
  <w:num w:numId="4">
    <w:abstractNumId w:val="10"/>
  </w:num>
  <w:num w:numId="5">
    <w:abstractNumId w:val="7"/>
  </w:num>
  <w:num w:numId="6">
    <w:abstractNumId w:val="8"/>
  </w:num>
  <w:num w:numId="7">
    <w:abstractNumId w:val="4"/>
  </w:num>
  <w:num w:numId="8">
    <w:abstractNumId w:val="15"/>
  </w:num>
  <w:num w:numId="9">
    <w:abstractNumId w:val="0"/>
  </w:num>
  <w:num w:numId="10">
    <w:abstractNumId w:val="13"/>
  </w:num>
  <w:num w:numId="11">
    <w:abstractNumId w:val="13"/>
  </w:num>
  <w:num w:numId="12">
    <w:abstractNumId w:val="12"/>
  </w:num>
  <w:num w:numId="13">
    <w:abstractNumId w:val="13"/>
  </w:num>
  <w:num w:numId="14">
    <w:abstractNumId w:val="3"/>
  </w:num>
  <w:num w:numId="15">
    <w:abstractNumId w:val="5"/>
  </w:num>
  <w:num w:numId="16">
    <w:abstractNumId w:val="2"/>
  </w:num>
  <w:num w:numId="17">
    <w:abstractNumId w:val="1"/>
  </w:num>
  <w:num w:numId="18">
    <w:abstractNumId w:val="9"/>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D23"/>
    <w:rsid w:val="00350310"/>
    <w:rsid w:val="00400A8C"/>
    <w:rsid w:val="00630F8B"/>
    <w:rsid w:val="006D77CF"/>
    <w:rsid w:val="009821CD"/>
    <w:rsid w:val="00A0302F"/>
    <w:rsid w:val="00BE58A2"/>
    <w:rsid w:val="00CE3D23"/>
    <w:rsid w:val="00D82B69"/>
    <w:rsid w:val="00DA0A85"/>
    <w:rsid w:val="00E0411E"/>
    <w:rsid w:val="00E0523F"/>
    <w:rsid w:val="00E977DB"/>
    <w:rsid w:val="00EE2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ACEC4A-00F4-4F42-A17C-421A7AEC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jc w:val="both"/>
    </w:pPr>
    <w:rPr>
      <w:rFonts w:ascii="Marianne" w:eastAsia="Times New Roman" w:hAnsi="Marianne" w:cs="Arial"/>
      <w:szCs w:val="24"/>
      <w:lang w:eastAsia="zh-CN"/>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sz w:val="40"/>
      <w:szCs w:val="40"/>
    </w:rPr>
  </w:style>
  <w:style w:type="paragraph" w:styleId="Titre2">
    <w:name w:val="heading 2"/>
    <w:basedOn w:val="Normal"/>
    <w:next w:val="Normal"/>
    <w:link w:val="Titre2Car"/>
    <w:qFormat/>
    <w:pPr>
      <w:keepNext/>
      <w:numPr>
        <w:ilvl w:val="1"/>
        <w:numId w:val="1"/>
      </w:numPr>
      <w:shd w:val="clear" w:color="auto" w:fill="D8D8D8"/>
      <w:tabs>
        <w:tab w:val="left" w:pos="993"/>
      </w:tabs>
      <w:spacing w:before="240"/>
      <w:outlineLvl w:val="1"/>
    </w:pPr>
    <w:rPr>
      <w:rFonts w:eastAsia="MS Mincho" w:cs="Times New Roman"/>
      <w:b/>
      <w:bCs/>
      <w:caps/>
      <w:szCs w:val="26"/>
    </w:rPr>
  </w:style>
  <w:style w:type="paragraph" w:styleId="Titre3">
    <w:name w:val="heading 3"/>
    <w:basedOn w:val="Normal"/>
    <w:next w:val="Normal"/>
    <w:link w:val="Titre3Car"/>
    <w:uiPriority w:val="9"/>
    <w:unhideWhenUsed/>
    <w:qFormat/>
    <w:rsid w:val="00630F8B"/>
    <w:pPr>
      <w:keepNext/>
      <w:keepLines/>
      <w:spacing w:before="320" w:after="200"/>
      <w:outlineLvl w:val="2"/>
    </w:pPr>
    <w:rPr>
      <w:rFonts w:eastAsia="Arial"/>
      <w:sz w:val="22"/>
      <w:szCs w:val="22"/>
      <w:u w:val="single"/>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b/>
      <w:bCs/>
      <w:sz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Emphaseintense">
    <w:name w:val="Intense Emphasis"/>
    <w:basedOn w:val="Policepardfaut"/>
    <w:uiPriority w:val="21"/>
    <w:qFormat/>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styleId="Lienhypertextesuivivisit">
    <w:name w:val="FollowedHyperlink"/>
    <w:basedOn w:val="Policepardfaut"/>
    <w:uiPriority w:val="99"/>
    <w:semiHidden/>
    <w:unhideWhenUsed/>
    <w:rPr>
      <w:color w:val="954F72" w:themeColor="followedHyperlink"/>
      <w:u w:val="single"/>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sid w:val="00630F8B"/>
    <w:rPr>
      <w:rFonts w:ascii="Marianne" w:eastAsia="Arial" w:hAnsi="Marianne" w:cs="Arial"/>
      <w:sz w:val="22"/>
      <w:u w:val="single"/>
      <w:lang w:eastAsia="zh-CN"/>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p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Titre2Car">
    <w:name w:val="Titre 2 Car"/>
    <w:basedOn w:val="Policepardfaut"/>
    <w:link w:val="Titre2"/>
    <w:qFormat/>
    <w:rPr>
      <w:rFonts w:ascii="Marianne" w:eastAsia="MS Mincho" w:hAnsi="Marianne" w:cs="Times New Roman"/>
      <w:caps/>
      <w:sz w:val="20"/>
      <w:szCs w:val="26"/>
      <w:shd w:val="clear" w:color="auto" w:fill="D8D8D8"/>
      <w:lang w:eastAsia="zh-CN"/>
    </w:rPr>
  </w:style>
  <w:style w:type="character" w:styleId="Numrodepage">
    <w:name w:val="page number"/>
    <w:qFormat/>
    <w:rPr>
      <w:sz w:val="20"/>
      <w:szCs w:val="20"/>
    </w:rPr>
  </w:style>
  <w:style w:type="character" w:customStyle="1" w:styleId="PieddepageCar">
    <w:name w:val="Pied de page Car"/>
    <w:basedOn w:val="Policepardfaut"/>
    <w:link w:val="Pieddepage"/>
    <w:qFormat/>
    <w:rPr>
      <w:rFonts w:ascii="Marianne" w:eastAsia="Times New Roman" w:hAnsi="Marianne" w:cs="Times New Roman"/>
      <w:sz w:val="20"/>
      <w:szCs w:val="24"/>
      <w:lang w:eastAsia="zh-CN"/>
    </w:rPr>
  </w:style>
  <w:style w:type="character" w:customStyle="1" w:styleId="ParagraphedelisteCar">
    <w:name w:val="Paragraphe de liste Car"/>
    <w:link w:val="Paragraphedeliste"/>
    <w:qFormat/>
    <w:rPr>
      <w:rFonts w:ascii="Marianne" w:eastAsia="Times New Roman" w:hAnsi="Marianne" w:cs="Arial"/>
      <w:sz w:val="20"/>
      <w:szCs w:val="24"/>
      <w:lang w:eastAsia="zh-CN"/>
    </w:rPr>
  </w:style>
  <w:style w:type="character" w:customStyle="1" w:styleId="TextedebullesCar">
    <w:name w:val="Texte de bulles Car"/>
    <w:basedOn w:val="Policepardfaut"/>
    <w:link w:val="Textedebulles"/>
    <w:uiPriority w:val="99"/>
    <w:semiHidden/>
    <w:qFormat/>
    <w:rPr>
      <w:rFonts w:ascii="Segoe UI" w:eastAsia="Times New Roman" w:hAnsi="Segoe UI" w:cs="Segoe UI"/>
      <w:sz w:val="18"/>
      <w:szCs w:val="18"/>
      <w:lang w:eastAsia="zh-CN"/>
    </w:rPr>
  </w:style>
  <w:style w:type="character" w:customStyle="1" w:styleId="En-tteCar">
    <w:name w:val="En-tête Car"/>
    <w:basedOn w:val="Policepardfaut"/>
    <w:uiPriority w:val="99"/>
    <w:qFormat/>
    <w:rPr>
      <w:rFonts w:ascii="Marianne" w:eastAsia="Times New Roman" w:hAnsi="Marianne" w:cs="Arial"/>
      <w:sz w:val="20"/>
      <w:szCs w:val="24"/>
      <w:lang w:eastAsia="zh-CN"/>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Marianne" w:eastAsia="Times New Roman" w:hAnsi="Marianne" w:cs="Arial"/>
      <w:sz w:val="20"/>
      <w:szCs w:val="20"/>
      <w:lang w:eastAsia="zh-CN"/>
    </w:rPr>
  </w:style>
  <w:style w:type="character" w:customStyle="1" w:styleId="ObjetducommentaireCar">
    <w:name w:val="Objet du commentaire Car"/>
    <w:basedOn w:val="CommentaireCar"/>
    <w:link w:val="Objetducommentaire"/>
    <w:uiPriority w:val="99"/>
    <w:semiHidden/>
    <w:qFormat/>
    <w:rPr>
      <w:rFonts w:ascii="Marianne" w:eastAsia="Times New Roman" w:hAnsi="Marianne" w:cs="Arial"/>
      <w:b/>
      <w:bCs/>
      <w:sz w:val="20"/>
      <w:szCs w:val="20"/>
      <w:lang w:eastAsia="zh-CN"/>
    </w:rPr>
  </w:style>
  <w:style w:type="character" w:customStyle="1" w:styleId="ListLabel1">
    <w:name w:val="ListLabel 1"/>
    <w:qFormat/>
    <w:rPr>
      <w:rFonts w:cs="Arial"/>
      <w:b/>
      <w:i w:val="0"/>
      <w:sz w:val="22"/>
      <w:u w:val="none"/>
    </w:rPr>
  </w:style>
  <w:style w:type="character" w:customStyle="1" w:styleId="ListLabel2">
    <w:name w:val="ListLabel 2"/>
    <w:qFormat/>
    <w:rPr>
      <w:rFonts w:cs="Times New Roman"/>
      <w:b w:val="0"/>
      <w:bCs w:val="0"/>
      <w:i w:val="0"/>
      <w:iCs w:val="0"/>
      <w:caps w:val="0"/>
      <w:smallCaps w:val="0"/>
      <w:strike w:val="0"/>
      <w:vanish w:val="0"/>
      <w:color w:val="000000"/>
      <w:spacing w:val="0"/>
      <w:position w:val="0"/>
      <w:sz w:val="0"/>
      <w:szCs w:val="0"/>
      <w:highlight w:val="black"/>
      <w:u w:val="none"/>
      <w:vertAlign w:val="baseline"/>
    </w:rPr>
  </w:style>
  <w:style w:type="character" w:customStyle="1" w:styleId="ListLabel3">
    <w:name w:val="ListLabel 3"/>
    <w:qFormat/>
    <w:rPr>
      <w:rFonts w:cs="Arial"/>
      <w:b/>
      <w:i w:val="0"/>
      <w:sz w:val="22"/>
      <w:u w:val="none"/>
    </w:rPr>
  </w:style>
  <w:style w:type="character" w:customStyle="1" w:styleId="ListLabel4">
    <w:name w:val="ListLabel 4"/>
    <w:qFormat/>
    <w:rPr>
      <w:rFonts w:cs="Symbol"/>
      <w:b/>
      <w:bCs/>
      <w:sz w:val="26"/>
      <w:szCs w:val="26"/>
      <w:u w:val="none"/>
    </w:rPr>
  </w:style>
  <w:style w:type="character" w:customStyle="1" w:styleId="ListLabel5">
    <w:name w:val="ListLabel 5"/>
    <w:qFormat/>
    <w:rPr>
      <w:rFonts w:cs="Times New Roman"/>
    </w:rPr>
  </w:style>
  <w:style w:type="character" w:customStyle="1" w:styleId="ListLabel6">
    <w:name w:val="ListLabel 6"/>
    <w:qFormat/>
    <w:rPr>
      <w:rFonts w:cs="Marianne"/>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ascii="Marianne" w:hAnsi="Marianne" w:cs="Symbol"/>
      <w:sz w:val="20"/>
    </w:rPr>
  </w:style>
  <w:style w:type="character" w:customStyle="1" w:styleId="ListLabel16">
    <w:name w:val="ListLabel 16"/>
    <w:qFormat/>
    <w:rPr>
      <w:rFonts w:cs="Courier New"/>
      <w:sz w:val="20"/>
    </w:rPr>
  </w:style>
  <w:style w:type="character" w:customStyle="1" w:styleId="ListLabel17">
    <w:name w:val="ListLabel 17"/>
    <w:qFormat/>
    <w:rPr>
      <w:rFonts w:cs="Wingdings"/>
      <w:sz w:val="20"/>
    </w:rPr>
  </w:style>
  <w:style w:type="character" w:customStyle="1" w:styleId="ListLabel18">
    <w:name w:val="ListLabel 18"/>
    <w:qFormat/>
    <w:rPr>
      <w:rFonts w:cs="Wingdings"/>
      <w:sz w:val="20"/>
    </w:rPr>
  </w:style>
  <w:style w:type="character" w:customStyle="1" w:styleId="ListLabel19">
    <w:name w:val="ListLabel 19"/>
    <w:qFormat/>
    <w:rPr>
      <w:rFonts w:cs="Wingdings"/>
      <w:sz w:val="20"/>
    </w:rPr>
  </w:style>
  <w:style w:type="character" w:customStyle="1" w:styleId="ListLabel20">
    <w:name w:val="ListLabel 20"/>
    <w:qFormat/>
    <w:rPr>
      <w:rFonts w:cs="Wingdings"/>
      <w:sz w:val="20"/>
    </w:rPr>
  </w:style>
  <w:style w:type="character" w:customStyle="1" w:styleId="ListLabel21">
    <w:name w:val="ListLabel 21"/>
    <w:qFormat/>
    <w:rPr>
      <w:rFonts w:cs="Wingdings"/>
      <w:sz w:val="20"/>
    </w:rPr>
  </w:style>
  <w:style w:type="character" w:customStyle="1" w:styleId="ListLabel22">
    <w:name w:val="ListLabel 22"/>
    <w:qFormat/>
    <w:rPr>
      <w:rFonts w:cs="Wingdings"/>
      <w:sz w:val="20"/>
    </w:rPr>
  </w:style>
  <w:style w:type="character" w:customStyle="1" w:styleId="ListLabel23">
    <w:name w:val="ListLabel 23"/>
    <w:qFormat/>
    <w:rPr>
      <w:rFonts w:cs="Wingdings"/>
      <w:sz w:val="20"/>
    </w:rPr>
  </w:style>
  <w:style w:type="paragraph" w:styleId="Titre">
    <w:name w:val="Title"/>
    <w:basedOn w:val="Normal"/>
    <w:next w:val="Corpsdetexte"/>
    <w:link w:val="TitreCar"/>
    <w:qFormat/>
    <w:pPr>
      <w:keepNext/>
      <w:spacing w:before="240"/>
    </w:pPr>
    <w:rPr>
      <w:rFonts w:ascii="Liberation Sans" w:eastAsia="Microsoft YaHei" w:hAnsi="Liberation Sans"/>
      <w:sz w:val="28"/>
      <w:szCs w:val="28"/>
    </w:rPr>
  </w:style>
  <w:style w:type="paragraph" w:styleId="Corpsdetexte">
    <w:name w:val="Body Text"/>
    <w:basedOn w:val="Normal"/>
    <w:pPr>
      <w:spacing w:before="0" w:after="140" w:line="276" w:lineRule="auto"/>
    </w:pPr>
  </w:style>
  <w:style w:type="paragraph" w:styleId="Liste">
    <w:name w:val="List"/>
    <w:basedOn w:val="Corpsdetexte"/>
  </w:style>
  <w:style w:type="paragraph" w:styleId="Lgende">
    <w:name w:val="caption"/>
    <w:basedOn w:val="Normal"/>
    <w:next w:val="Normal"/>
    <w:qFormat/>
    <w:rPr>
      <w:b/>
    </w:rPr>
  </w:style>
  <w:style w:type="paragraph" w:customStyle="1" w:styleId="Index">
    <w:name w:val="Index"/>
    <w:basedOn w:val="Normal"/>
    <w:qFormat/>
    <w:pPr>
      <w:suppressLineNumbers/>
    </w:pPr>
  </w:style>
  <w:style w:type="paragraph" w:customStyle="1" w:styleId="En-tteetpieddepage">
    <w:name w:val="En-tête et pied de page"/>
    <w:basedOn w:val="Normal"/>
    <w:qFormat/>
  </w:style>
  <w:style w:type="paragraph" w:styleId="Pieddepage">
    <w:name w:val="footer"/>
    <w:basedOn w:val="Normal"/>
    <w:link w:val="PieddepageCar"/>
    <w:pPr>
      <w:tabs>
        <w:tab w:val="center" w:pos="4536"/>
        <w:tab w:val="right" w:pos="9072"/>
      </w:tabs>
    </w:pPr>
    <w:rPr>
      <w:rFonts w:cs="Times New Roman"/>
    </w:rPr>
  </w:style>
  <w:style w:type="paragraph" w:styleId="Paragraphedeliste">
    <w:name w:val="List Paragraph"/>
    <w:basedOn w:val="Normal"/>
    <w:link w:val="ParagraphedelisteCar"/>
    <w:uiPriority w:val="34"/>
    <w:qFormat/>
    <w:pPr>
      <w:ind w:left="708"/>
    </w:pPr>
  </w:style>
  <w:style w:type="paragraph" w:styleId="Textedebulles">
    <w:name w:val="Balloon Text"/>
    <w:basedOn w:val="Normal"/>
    <w:link w:val="TextedebullesCar"/>
    <w:uiPriority w:val="99"/>
    <w:semiHidden/>
    <w:unhideWhenUsed/>
    <w:qFormat/>
    <w:pPr>
      <w:spacing w:before="0" w:after="0"/>
    </w:pPr>
    <w:rPr>
      <w:rFonts w:ascii="Segoe UI" w:hAnsi="Segoe UI" w:cs="Segoe UI"/>
      <w:sz w:val="18"/>
      <w:szCs w:val="18"/>
    </w:rPr>
  </w:style>
  <w:style w:type="paragraph" w:styleId="En-tte">
    <w:name w:val="header"/>
    <w:basedOn w:val="Normal"/>
    <w:link w:val="En-tteCar1"/>
    <w:uiPriority w:val="99"/>
    <w:unhideWhenUsed/>
    <w:pPr>
      <w:tabs>
        <w:tab w:val="center" w:pos="4536"/>
        <w:tab w:val="right" w:pos="9072"/>
      </w:tabs>
      <w:spacing w:before="0" w:after="0"/>
    </w:pPr>
  </w:style>
  <w:style w:type="paragraph" w:styleId="Commentaire">
    <w:name w:val="annotation text"/>
    <w:basedOn w:val="Normal"/>
    <w:link w:val="CommentaireCar"/>
    <w:uiPriority w:val="99"/>
    <w:semiHidden/>
    <w:unhideWhenUsed/>
    <w:qFormat/>
    <w:rPr>
      <w:szCs w:val="20"/>
    </w:rPr>
  </w:style>
  <w:style w:type="paragraph" w:styleId="Objetducommentaire">
    <w:name w:val="annotation subject"/>
    <w:basedOn w:val="Commentaire"/>
    <w:next w:val="Commentaire"/>
    <w:link w:val="ObjetducommentaireCar"/>
    <w:uiPriority w:val="99"/>
    <w:semiHidden/>
    <w:unhideWhenUsed/>
    <w:qFormat/>
    <w:rPr>
      <w:b/>
      <w:bCs/>
    </w:rPr>
  </w:style>
  <w:style w:type="paragraph" w:customStyle="1" w:styleId="western">
    <w:name w:val="western"/>
    <w:basedOn w:val="Normal"/>
    <w:qFormat/>
    <w:pPr>
      <w:spacing w:beforeAutospacing="1" w:afterAutospacing="1"/>
    </w:pPr>
    <w:rPr>
      <w:rFonts w:ascii="Times New Roman" w:hAnsi="Times New Roman" w:cs="Times New Roman"/>
      <w:spacing w:val="-2"/>
      <w:sz w:val="22"/>
      <w:szCs w:val="22"/>
      <w:lang w:eastAsia="fr-FR"/>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Centr">
    <w:name w:val="2 Centré"/>
    <w:basedOn w:val="Normal"/>
    <w:link w:val="2CentrCar"/>
    <w:qFormat/>
    <w:pPr>
      <w:spacing w:before="0" w:after="0"/>
      <w:jc w:val="center"/>
    </w:pPr>
    <w:rPr>
      <w:rFonts w:ascii="Arial" w:eastAsia="MS Mincho" w:hAnsi="Arial" w:cs="Times New Roman"/>
      <w:sz w:val="22"/>
      <w:lang w:eastAsia="fr-FR"/>
    </w:rPr>
  </w:style>
  <w:style w:type="character" w:customStyle="1" w:styleId="2CentrCar">
    <w:name w:val="2 Centré Car"/>
    <w:link w:val="2Centr"/>
    <w:rPr>
      <w:rFonts w:ascii="Arial" w:eastAsia="MS Mincho" w:hAnsi="Arial" w:cs="Times New Roman"/>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20.jpg"/><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0.jpg"/><Relationship Id="rId4"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922</Words>
  <Characters>5074</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BPEIRVOM</dc:creator>
  <dc:description/>
  <cp:lastModifiedBy>ITJI Kenza</cp:lastModifiedBy>
  <cp:revision>4</cp:revision>
  <dcterms:created xsi:type="dcterms:W3CDTF">2025-11-20T14:44:00Z</dcterms:created>
  <dcterms:modified xsi:type="dcterms:W3CDTF">2025-12-19T09:58:00Z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DSIC</vt:lpwstr>
  </property>
</Properties>
</file>